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19" w:rsidRPr="00E04E19" w:rsidRDefault="00E04E19" w:rsidP="006F69E3">
      <w:pPr>
        <w:spacing w:after="75" w:line="300" w:lineRule="atLeast"/>
        <w:outlineLvl w:val="4"/>
        <w:rPr>
          <w:rFonts w:ascii="Trebuchet MS" w:eastAsia="Times New Roman" w:hAnsi="Trebuchet MS" w:cs="Times New Roman"/>
          <w:b/>
          <w:bCs/>
          <w:color w:val="993300"/>
          <w:sz w:val="24"/>
          <w:szCs w:val="24"/>
          <w:lang w:val="en" w:eastAsia="en-CA"/>
        </w:rPr>
      </w:pPr>
      <w:r w:rsidRPr="00E04E19">
        <w:rPr>
          <w:rFonts w:ascii="Trebuchet MS" w:eastAsia="Times New Roman" w:hAnsi="Trebuchet MS" w:cs="Times New Roman"/>
          <w:b/>
          <w:bCs/>
          <w:color w:val="993300"/>
          <w:sz w:val="24"/>
          <w:szCs w:val="24"/>
          <w:lang w:val="en" w:eastAsia="en-CA"/>
        </w:rPr>
        <w:t>Key Concepts Review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7043"/>
        <w:gridCol w:w="567"/>
        <w:gridCol w:w="36"/>
      </w:tblGrid>
      <w:tr w:rsidR="00E04E19" w:rsidRPr="00E04E19" w:rsidTr="00E04E19">
        <w:trPr>
          <w:gridAfter w:val="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6F69E3">
              <w:rPr>
                <w:rFonts w:ascii="Trebuchet MS" w:eastAsia="Times New Roman" w:hAnsi="Trebuchet MS" w:cs="Times New Roman"/>
                <w:b/>
                <w:bCs/>
                <w:color w:val="231F20"/>
                <w:sz w:val="24"/>
                <w:szCs w:val="24"/>
                <w:lang w:eastAsia="en-CA"/>
              </w:rPr>
              <w:t>OBJECTIVES</w:t>
            </w:r>
          </w:p>
        </w:tc>
        <w:tc>
          <w:tcPr>
            <w:tcW w:w="3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6F69E3">
              <w:rPr>
                <w:rFonts w:ascii="Trebuchet MS" w:eastAsia="Times New Roman" w:hAnsi="Trebuchet MS" w:cs="Times New Roman"/>
                <w:b/>
                <w:bCs/>
                <w:color w:val="231F20"/>
                <w:sz w:val="24"/>
                <w:szCs w:val="24"/>
                <w:lang w:eastAsia="en-CA"/>
              </w:rPr>
              <w:t>QUICK FACTS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6F69E3">
              <w:rPr>
                <w:rFonts w:ascii="Trebuchet MS" w:eastAsia="Times New Roman" w:hAnsi="Trebuchet MS" w:cs="Times New Roman"/>
                <w:b/>
                <w:bCs/>
                <w:color w:val="231F20"/>
                <w:sz w:val="24"/>
                <w:szCs w:val="24"/>
                <w:lang w:eastAsia="en-CA"/>
              </w:rPr>
              <w:t>GOT IT?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  <w:t>Section 1 – Getting started with Serving It Right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What is Serving It Right?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Developed to reduce service-related alcohol problems.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6F69E3">
              <w:rPr>
                <w:rFonts w:ascii="Trebuchet MS" w:eastAsia="Times New Roman" w:hAnsi="Trebuchet MS" w:cs="Times New Roman"/>
                <w:noProof/>
                <w:color w:val="231F20"/>
                <w:sz w:val="24"/>
                <w:szCs w:val="24"/>
                <w:lang w:eastAsia="en-CA"/>
              </w:rPr>
              <w:drawing>
                <wp:inline distT="0" distB="0" distL="0" distR="0" wp14:anchorId="26DB7757" wp14:editId="4C7E11EE">
                  <wp:extent cx="188595" cy="188595"/>
                  <wp:effectExtent l="0" t="0" r="1905" b="1905"/>
                  <wp:docPr id="1" name="Picture 1" descr="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Created through partnership of provincial government and hospitality industry.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Who needs a SIR certificate?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Food-primary licensees and managers; liquor-primary licensees, managers, servers and bartenders; private liquor store licensees, managers and sales staff; some special occasion licence holders.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The modern view of alcohol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Concerns about alcohol over-consumption and public safety.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Licensees and staff found increasingly responsible for alcohol-related injuries in courts.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The impact of a responsible beverage service program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Eliminates sale and service of alcohol to minors.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Reduces over-consumption in licensed premises.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  <w:t>Section 2– Alcohol effects and intoxication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How to recognize intoxication and the over-consumption of alcohol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Intoxication is an observed state, with early signs including impaired judgement, loss of self-control and inhibitions.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Each person will be affected by alcohol differently - many factors influence intoxication including age, gender and body type.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Possible signs of intoxication include stumbling, poor hand-eye coordination, changes in speech and nausea.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Make an initial assessment and watch for a change in behaviour or abnormal behaviour.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The effects of alcohol in combination with drugs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Alcohol in combination with drugs intensifies effects.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Watch for exaggerated symptoms and have emergency numbers handy.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What is blood alcohol concentration and the standard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A person is legally impaired if he or she has a blood alcohol concentration of more than .08%.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A person is unfit to drive if he or she has a blood alcohol concentration of.05% or more OR his or her ability to drive is impaired by alcohol and/or drugs.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A standard drink is 0.6 ounces of 100% alcohol; for example, a 5-ounce glass of 12% alcohol wine.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E04E19" w:rsidRPr="00E04E19" w:rsidRDefault="00E04E19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  <w:lastRenderedPageBreak/>
              <w:t>Section 3 – Alcohol and the law</w:t>
            </w:r>
          </w:p>
        </w:tc>
      </w:tr>
      <w:tr w:rsidR="00E04E19" w:rsidRPr="00E04E19" w:rsidTr="00E04E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lastRenderedPageBreak/>
              <w:t>Your obligations under the law related to the sale and service of alcohol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Licensees and staff must meet all requirements of the Liquor Control and Licensing Act and Regulation.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Licensees and their staff owe a duty of care to patrons and innocent third parties. Duty of care lasts until the patron arrives home or somewhere he or she can sober up.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Licensees and their staff have a responsibility to patrons on the premises, patrons leaving the establishment, and the general public who may be affected by patrons’ behaviour.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The consequences of failure to meet those obligations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The LCLB may impose conditions, suspend or cancel a licence, and impose monetary penalties.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The courts have allocated up to 50% of the fault for damage done by intoxicated patrons to those serving the alcohol — the licensee, manager and/or server.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Even if only a small percentage of the total blame is assigned to the licensee, the licensee may still have to pay for all of the damages of someone injured by an intoxicated person.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How to minimize your legal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Control the environment in the establishment.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Serve no one to the point of intoxication; refuse entry to and remove intoxicated people.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Ensure an intoxicated patron has a safe ride home.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Do not serve or sell alcohol to minors or intoxicated patrons.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Regularly review the Act, Regulation, and terms and conditions of licences.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Call the police when necessary.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6F69E3" w:rsidRDefault="006F69E3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</w:p>
          <w:p w:rsidR="00E04E19" w:rsidRPr="00E04E19" w:rsidRDefault="00E04E19" w:rsidP="00E04E19">
            <w:pPr>
              <w:spacing w:after="45" w:line="300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E04E19">
              <w:rPr>
                <w:rFonts w:ascii="Trebuchet MS" w:eastAsia="Times New Roman" w:hAnsi="Trebuchet MS" w:cs="Times New Roman"/>
                <w:b/>
                <w:bCs/>
                <w:color w:val="364A59"/>
                <w:sz w:val="24"/>
                <w:szCs w:val="24"/>
                <w:lang w:eastAsia="en-CA"/>
              </w:rPr>
              <w:t>Section 4 – Implementing Responsible Beverage Service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lastRenderedPageBreak/>
              <w:t>The importance of a house policy to support responsible beverage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Provides licensees, managers and staff with the appropriate procedures and tactics to use in different alcohol-service situations.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Shields your establishment from unwanted lawsuits.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Promoting house policy creates customer awareness and shows that you and your staff are responsible and professional.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How to be an effective team member in implementing RBS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Everyone in the staff has a role in RBS.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Share information to help identify problematic behaviour.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Serve as a backup or witness.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Assist in handling an intoxicated customer.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How to ID minors to prevent underage drinking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Ask for two pieces of ID to verify age.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Check the ID photo, feel the document for peeling edges or extra thickness, and look at the details.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Validate ID by asking for a sample signature or seeing if they know their address or zodiac sign.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Keep an eye out for activities that indicate customers are purchasing alcohol for minors.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How to develop and support policies that prevent intoxication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Assess the specific risks associated with your establishment.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Write policies down to make everyone’s role clear.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Get input from staff and guests.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Provide proper training for staff and regular review and reinforcement.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Create a pleasant, professional environment.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How to handle typical situations requiring intervention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Identify a backup team member.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When refusing service, explain to the guest privately and discreetly.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Be courteous and firm; provide reasons for your actions.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How to get intoxicated patrons home safely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Identify a sober friend or companion of the guest that is there or can be called to pick them up.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Offer the guest incentives to leave their keys or help them to use a community service to get home.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If the patron insists on driving, call the police with details.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How to use an incident log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Record details of events in a logbook and keep these records, along with sales slips, for at least seven years.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04E19" w:rsidRPr="00E04E19" w:rsidTr="00E04E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Use entries as a learning tool and to debrief staff.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E19" w:rsidRPr="00E04E19" w:rsidRDefault="00E04E19" w:rsidP="00E04E19">
            <w:pPr>
              <w:spacing w:after="0" w:line="300" w:lineRule="atLeast"/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</w:pPr>
            <w:r w:rsidRPr="00E04E19">
              <w:rPr>
                <w:rFonts w:ascii="Trebuchet MS" w:eastAsia="Times New Roman" w:hAnsi="Trebuchet MS" w:cs="Times New Roman"/>
                <w:color w:val="231F2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19" w:rsidRPr="00E04E19" w:rsidRDefault="00E04E19" w:rsidP="00E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866DC2" w:rsidRPr="006F69E3" w:rsidRDefault="00866DC2">
      <w:pPr>
        <w:rPr>
          <w:sz w:val="24"/>
          <w:szCs w:val="24"/>
        </w:rPr>
      </w:pPr>
    </w:p>
    <w:sectPr w:rsidR="00866DC2" w:rsidRPr="006F69E3" w:rsidSect="006F69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19"/>
    <w:rsid w:val="003F7F02"/>
    <w:rsid w:val="006F69E3"/>
    <w:rsid w:val="00866DC2"/>
    <w:rsid w:val="009A35DE"/>
    <w:rsid w:val="00E0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">
    <w:name w:val="callout"/>
    <w:basedOn w:val="Normal"/>
    <w:rsid w:val="00E04E19"/>
    <w:pPr>
      <w:pBdr>
        <w:top w:val="dotted" w:sz="6" w:space="4" w:color="CCCCCC"/>
        <w:left w:val="dotted" w:sz="6" w:space="11" w:color="CCCCCC"/>
        <w:bottom w:val="dotted" w:sz="6" w:space="4" w:color="CCCCCC"/>
        <w:right w:val="dotted" w:sz="6" w:space="11" w:color="CCCCCC"/>
      </w:pBdr>
      <w:shd w:val="clear" w:color="auto" w:fill="F1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04E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">
    <w:name w:val="callout"/>
    <w:basedOn w:val="Normal"/>
    <w:rsid w:val="00E04E19"/>
    <w:pPr>
      <w:pBdr>
        <w:top w:val="dotted" w:sz="6" w:space="4" w:color="CCCCCC"/>
        <w:left w:val="dotted" w:sz="6" w:space="11" w:color="CCCCCC"/>
        <w:bottom w:val="dotted" w:sz="6" w:space="4" w:color="CCCCCC"/>
        <w:right w:val="dotted" w:sz="6" w:space="11" w:color="CCCCCC"/>
      </w:pBdr>
      <w:shd w:val="clear" w:color="auto" w:fill="F1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04E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2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2014-04-22T20:55:00Z</cp:lastPrinted>
  <dcterms:created xsi:type="dcterms:W3CDTF">2014-04-22T20:56:00Z</dcterms:created>
  <dcterms:modified xsi:type="dcterms:W3CDTF">2014-04-22T20:56:00Z</dcterms:modified>
</cp:coreProperties>
</file>